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24</w:t>
      </w:r>
    </w:p>
    <w:p>
      <w:r>
        <w:t>Bundesgericht (BGE), 1985-01-23, DE</w:t>
      </w:r>
    </w:p>
    <w:p>
      <w:r>
        <w:rPr>
          <w:b/>
        </w:rPr>
        <w:t xml:space="preserve">Quelle: </w:t>
      </w:r>
      <w:r>
        <w:t>https://mcp.opencaselaw.ch/entscheid/bge_111 IV 24</w:t>
      </w:r>
    </w:p>
    <w:p>
      <w:r>
        <w:t>FR: ATF 111 IV 24</w:t>
      </w:r>
    </w:p>
    <w:p>
      <w:r>
        <w:t>IT: DTF 111 IV 24</w:t>
      </w:r>
    </w:p>
    <w:p>
      <w:pPr>
        <w:pStyle w:val="Heading2"/>
      </w:pPr>
      <w:r>
        <w:t>Regeste</w:t>
      </w:r>
    </w:p>
    <w:p>
      <w:r>
        <w:t>Regeste 1. Konkurrenz zwischen Art. 251 und 252 StGB. Die Fälschung von Ausweisen, Zeugnissen oder Bescheinigungen ist nicht gemäss der privilegierten Vorschrift in Art. 252 StGB, sondern nach Art. 251 StGB zu bestrafen, wenn sie einen über das direkte Fortkommen hinausgehenden unrechtmässigen Vorteil verschaffen bzw. einen andern am Vermögen oder weiteren Rechten schädigen soll. Das mit der gefälschten Unterschrift auf einem Gesuch um Erteilung des Lernfahrausweises verfolgte Nebenziel, die Berufsausübung als Privatdetektivin zu erleichtern, stellt keinen solchen unrechtmässigen Vorteil dar. 2. Realkonkurrenz zwischen Art. 97 Ziff. 1 SVG und Art. 252 StGB. Der Täter ist nicht nur wegen Widerhandlung gegen Art. 97 Ziff. 1 SVG, sondern zusätzlich wegen Verletzung von Tatbeständen des StGB schuldig zu sprechen, wenn die strafbare Handlung zwar im Zusammenhang mit der SVG-Widerhandlung erfolgte, aber eine von dieser unabhängige Straftat darstellt. Wer ein Gesuch um Erteilung des Lernfahrausweises fälscht, ist gemäss Art. 252 StGB und Art. 97 Ziff. 1 SVG zu verurteilen.</w:t>
      </w:r>
    </w:p>
    <w:p>
      <w:pPr>
        <w:pStyle w:val="Heading2"/>
      </w:pPr>
      <w:r>
        <w:t>Erwägungen</w:t>
      </w:r>
    </w:p>
    <w:p>
      <w:r>
        <w:rPr>
          <w:b/>
        </w:rPr>
        <w:t>E. 1</w:t>
      </w:r>
    </w:p>
    <w:p>
      <w:r>
        <w:t>a) Der Beschwerdeführer rügt eine Verletzung von Art. 251 StGB und Art. 97 SVG . Er behauptet, die Vorinstanz habe übersehen, dass bloss eine Verurteilung wegen Verletzung des privilegierten Tatbestandes von Art. 252 StGB , nicht aber wegen Urkundenfälschung im Sinne von Art. 251 StGB in Frage komme. Zur Begründung macht er geltend, es sei nicht einzusehen, weshalb wohl das Fälschen eines Ausweises, nicht aber das Fälschen einer Unterschrift auf dem Gesuch zur Erteilung dieses Schriftstücks unter Art. 252 StGB falle. Ausserdem rügt er - unter Berufung auf Art. 97 Ziff. 2 SVG - sinngemäss die Annahme von Idealkonkurrenz BGE 111 IV 24 S. 26 zwischen Urkundenfälschung im Sinne von Art. 251 ff. StGB und Art. 97 Ziff. 1 Abs. 4 SVG . b) Die Subsumtion unter Art. 252 StGB setzt u.a. die Fälschung eines Ausweises, Zeugnisses oder einer Bescheinigung voraus. Das Gesuchsformular, mit welchem V. die Erteilung des Lernfahrausweises beantragte, stellt hinsichtlich der Unterschrift des Inhabers der elterlichen Gewalt eine Bescheinigung dar; jener bestätigte, dass er mit dem Gesuch einverstanden ist. Weitere Voraussetzung für die Anwendung von Art. 252 StGB ist, dass der Täter bloss eine Erleichterung seines persönlichen Fortkommens bzw. desjenigen eines Dritten beabsichtigt. Dient die Urkunde nur mittelbar einem direkten Fortkommen und soll sie in Wirklichkeit einen weitergehenden unrechtmässigen Vorteil verschaffen bzw. einen andern am Vermögen oder weiteren Rechten schädigen, muss der Täter gemäss Art. 251 StGB bestraft werden ( BGE 70 IV 213 , BGE 81 IV 287 E. 2, BGE 101 IV 205 E. 6; SCHWANDER, Das schweizerische Strafgesetzbuch Nr. 701, S. 459; LOGOZ, Commentaire du Code pénal suisse, partie spéciale II, Ziff. 1 und 4 zu Art. 252 StGB ; THORMANN/VON OVERBECK, Schweizerisches Strafgesetzbuch, besonderer Teil, N. 6 zu Art. 252 StGB ). So hat das Bundesgericht etwa gefälschte Warenatteste, die für die Werbung und damit indirekt zum Zwecke eines besseren Absatzes verwendet wurden ( BGE 70 IV 212 ), sowie gefälschte und verfälschte Arbeitszeugnisse und -bescheinigungen, welche einem künftigen Arbeitgeber nicht bloss im Hinblick auf besseres berufliches Fortkommen vorgelegt wurden, sondern mit dem Ziel, über die Identität zu täuschen und dadurch Spionage zu ermöglichen ( BGE 101 IV 205 ), als unter Art. 251 StGB fallendes strafbares Verhalten angesehen. Die Praxis hat demgegenüber z.B. das Fälschen einer Identitätskarte durch einen Jugendlichen zum Zwecke, sich einen unbeschränkten Zutritt zu Kinos zu verschaffen (SJZ 65 [1969] Nr. 190, S. 351), oder die Verwendung eines gefälschten Führerausweises, um sich Unannehmlichkeiten oder eine Strafverfolgung zu ersparen ( BGE 98 IV 59 ), unter den privilegierten Tatbestand von Art. 252 StGB subsumiert. Die vom Beschwerdeführer gefälschte Unterschrift der Mutter von V. diente dem unmittelbaren Fortkommen seiner Freundin; diese sollte in die Lage versetzt werden, den Lernfahr- bzw. den Führerausweis möglichst schnell - jedenfalls vor Erreichen der Volljährigkeit - zu erlangen. Dass indirekt ausserdem die Verfolgung beruflicher Ziele (die Arbeit als Privatdetektivin) erleichtert werden sollte, genügt nicht zur Annahme einer über das unmittelbare BGE 111 IV 24 S. 27 Fortkommen hinausgehenden Absicht; die durch den frühen Erwerb des Führerausweises erhoffte Vereinfachung einer zukünftigen Berufsausübung stellt keinen unrechtmässigen Vorteil im Sinne der Rechtsprechung dar. Die Vorinstanz hätte den Beschwerdeführer somit nicht wegen Verletzung von Art. 251 StGB , sondern wegen Widerhandlung gegen Art. 252 StGB schuldig sprechen sollen. Der angefochtene Entscheid ist in diesem Punkt in Gutheissung der Nichtigkeitsbeschwerde aufzuheben, und die Sache ist an das Obergericht zu neuem Entscheid zurückzuweisen. c) Es ist unbestritten, dass sich der Beschwerdeführer durch die Fälschung der Unterschrift auf dem Gesuch um Erteilung eines Lernfahrausweises der Mittäterschaft bei Verletzung von Art. 97 Ziff. 1 Abs. 4 SVG schuldig machte. Gemäss dieser Bestimmung ist zu bestrafen, wer vorsätzlich durch unrichtige Angaben, Verschweigen erheblicher Tatsachen oder Vorlegen falscher Bescheinigungen einen Ausweis oder eine Bewilligung erschleicht. Der Beschwerdeführer macht geltend, Art. 97 Ziff. 2 SVG schliesse die Anwendung der besonderen Bestimmungen des Strafgesetzbuches bei gleichzeitiger Verurteilung wegen Verletzung von Art. 97 Ziff. 1 SVG aus, weshalb vorliegend eine Bestrafung wegen Urkundenfälschung entfallen müsse. Diese Argumentation verkennt, dass der Gesetzgeber die Spezialität von Art. 97 SVG nur insoweit begründete, als das in dieser Bestimmung aufgeführte strafbare Verhalten gleichzeitig auch Straftatbestände des besonderen Teils des Strafgesetzbuches erfüllt; eine Annahme von Idealkonkurrenz ist hier ausgeschlossen. Art 97 Ziff. 2 SVG , wonach die besonderen Bestimmungen des StGB "in diesen Fällen" keine Anwendung finden, macht jedoch deutlich, dass nur dort ausschliesslich das SVG gelten soll, wo die Tathandlung nicht weitergeht, als dies zur Erfüllung der in Art. 97 Ziff. 1 SVG genannten Tatbestände erforderlich ist (SCHULTZ, Strafbestimmungen des SVG, S. 306/307). Eine Bestrafung wegen weiterer Delikte des besonderen Teils des StGB hat demnach zu erfolgen, wenn die strafbare Handlung zwar im Zusammenhang mit einer SVG-Verletzung erfolgte, aber neben derselben auch eine vom gesetzlichen Tatbestand von Art. 97 Ziff. 1 SVG unabhängige Straftat im Sinne des StGB darstellt; entgegen der Meinung des Beschwerdeführers handelt es sich hier nicht mehr um verbotene Ideal-, sondern um Realkonkurrenz. Die Annahme, solches von Art. 97 Ziff. 1 SVG nicht direkt erfasstes Tatverhalten dürfe - weil z.B. eine Vorbereitungshandlung darstellend - nicht zusätzlich bestraft werden, würde zu einer ungerechtfertigten BGE 111 IV 24 S. 28 Privilegierung dessen führen, der durch Vergehen und Verbrechen des StGB zur Begehung von Widerhandlungen im Strassenverkehr beiträgt (SCHULTZ, a.a.O., S. 307; vgl. BUSSY/RUSCONI, Code suisse de la circulation, commentaire, Ziff. 8.2 zu Art. 97 SVG , S. 474). Art. 97 Ziff. 1 Abs. 4 SVG verbietet das Erschleichen eines Ausweises mittels gefälschter Bescheinigungen und Angaben. Tathandlung ist einzig das Erschleichen, nicht aber das Fälschen der Bescheinigung selbst. Das Fälschen der Zustimmungserklärung der Mutter von V. ist deshalb als Fälschung von Ausweisen zu bestrafen (s. auch SCHULTZ, a.a.O., S. 307). Der Beschwerdeführer ist somit zu Recht auch der Verletzung von Art. 97 Ziff. 1 SVG schuldig gesprochen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